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DB72" w14:textId="77777777" w:rsidR="00C7610C" w:rsidRDefault="006B1156" w:rsidP="00C7610C">
      <w:pPr>
        <w:rPr>
          <w:rFonts w:ascii="Palatino Linotype" w:hAnsi="Palatino Linotype"/>
          <w:b/>
          <w:sz w:val="22"/>
          <w:szCs w:val="22"/>
        </w:rPr>
      </w:pPr>
      <w:r w:rsidRPr="00C7610C">
        <w:rPr>
          <w:rFonts w:ascii="Palatino Linotype" w:hAnsi="Palatino Linotype"/>
          <w:b/>
          <w:sz w:val="22"/>
          <w:szCs w:val="22"/>
        </w:rPr>
        <w:t>Access to finance and informality: The Mexican tax on cash deposits</w:t>
      </w:r>
    </w:p>
    <w:p w14:paraId="4202D85A" w14:textId="1E12F9AB" w:rsidR="00C7610C" w:rsidRDefault="00C7610C" w:rsidP="00C7610C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Pierre </w:t>
      </w:r>
      <w:proofErr w:type="spellStart"/>
      <w:r>
        <w:rPr>
          <w:rFonts w:ascii="Palatino Linotype" w:hAnsi="Palatino Linotype"/>
          <w:b/>
          <w:sz w:val="22"/>
          <w:szCs w:val="22"/>
        </w:rPr>
        <w:t>Bachas</w:t>
      </w:r>
      <w:proofErr w:type="spellEnd"/>
    </w:p>
    <w:p w14:paraId="6B173709" w14:textId="6B533728" w:rsidR="00C7610C" w:rsidRDefault="00C7610C" w:rsidP="00C7610C">
      <w:pPr>
        <w:rPr>
          <w:rFonts w:ascii="Palatino Linotype" w:hAnsi="Palatino Linotype"/>
          <w:b/>
          <w:sz w:val="22"/>
          <w:szCs w:val="22"/>
        </w:rPr>
      </w:pPr>
    </w:p>
    <w:p w14:paraId="05A183F2" w14:textId="5A5479F7" w:rsidR="00C7610C" w:rsidRDefault="00FC5232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  <w:r w:rsidRPr="00C7610C">
        <w:rPr>
          <w:rFonts w:ascii="Palatino Linotype" w:hAnsi="Palatino Linotype"/>
          <w:sz w:val="22"/>
          <w:szCs w:val="22"/>
        </w:rPr>
        <w:t xml:space="preserve">Large informal sectors and tax evasion are common features of many Latin American </w:t>
      </w:r>
      <w:r w:rsidR="00640867" w:rsidRPr="00C7610C">
        <w:rPr>
          <w:rFonts w:ascii="Palatino Linotype" w:hAnsi="Palatino Linotype"/>
          <w:sz w:val="22"/>
          <w:szCs w:val="22"/>
        </w:rPr>
        <w:t>economies</w:t>
      </w:r>
      <w:r w:rsidRPr="00C7610C">
        <w:rPr>
          <w:rFonts w:ascii="Palatino Linotype" w:hAnsi="Palatino Linotype"/>
          <w:sz w:val="22"/>
          <w:szCs w:val="22"/>
        </w:rPr>
        <w:t>. In addition to a low productivity, informality generates a loss in tax revenue: the tax to GDP ratio for Mexico was 17.5</w:t>
      </w:r>
      <w:r w:rsidR="00C7610C">
        <w:rPr>
          <w:rFonts w:ascii="Palatino Linotype" w:hAnsi="Palatino Linotype"/>
          <w:sz w:val="22"/>
          <w:szCs w:val="22"/>
        </w:rPr>
        <w:t xml:space="preserve"> percent</w:t>
      </w:r>
      <w:r w:rsidRPr="00C7610C">
        <w:rPr>
          <w:rFonts w:ascii="Palatino Linotype" w:hAnsi="Palatino Linotype"/>
          <w:sz w:val="22"/>
          <w:szCs w:val="22"/>
        </w:rPr>
        <w:t xml:space="preserve"> in 2009</w:t>
      </w:r>
      <w:r w:rsidRPr="00C7610C">
        <w:rPr>
          <w:rStyle w:val="FootnoteReference"/>
          <w:rFonts w:ascii="Palatino Linotype" w:hAnsi="Palatino Linotype"/>
          <w:sz w:val="22"/>
          <w:szCs w:val="22"/>
        </w:rPr>
        <w:footnoteReference w:id="1"/>
      </w:r>
      <w:r w:rsidRPr="00C7610C">
        <w:rPr>
          <w:rFonts w:ascii="Palatino Linotype" w:hAnsi="Palatino Linotype"/>
          <w:sz w:val="22"/>
          <w:szCs w:val="22"/>
        </w:rPr>
        <w:t xml:space="preserve"> which is half of the tax to GDP ratio of the OECD average, with a range from 28</w:t>
      </w:r>
      <w:r w:rsidR="00C7610C">
        <w:rPr>
          <w:rFonts w:ascii="Palatino Linotype" w:hAnsi="Palatino Linotype"/>
          <w:sz w:val="22"/>
          <w:szCs w:val="22"/>
        </w:rPr>
        <w:t xml:space="preserve"> percent</w:t>
      </w:r>
      <w:r w:rsidRPr="00C7610C">
        <w:rPr>
          <w:rFonts w:ascii="Palatino Linotype" w:hAnsi="Palatino Linotype"/>
          <w:sz w:val="22"/>
          <w:szCs w:val="22"/>
        </w:rPr>
        <w:t xml:space="preserve"> for the US to 48</w:t>
      </w:r>
      <w:r w:rsidR="00C7610C">
        <w:rPr>
          <w:rFonts w:ascii="Palatino Linotype" w:hAnsi="Palatino Linotype"/>
          <w:sz w:val="22"/>
          <w:szCs w:val="22"/>
        </w:rPr>
        <w:t xml:space="preserve"> percent</w:t>
      </w:r>
      <w:r w:rsidRPr="00C7610C">
        <w:rPr>
          <w:rFonts w:ascii="Palatino Linotype" w:hAnsi="Palatino Linotype"/>
          <w:sz w:val="22"/>
          <w:szCs w:val="22"/>
        </w:rPr>
        <w:t xml:space="preserve"> for Denmark. On the other hand</w:t>
      </w:r>
      <w:r w:rsidR="00C7610C">
        <w:rPr>
          <w:rFonts w:ascii="Palatino Linotype" w:hAnsi="Palatino Linotype"/>
          <w:sz w:val="22"/>
          <w:szCs w:val="22"/>
        </w:rPr>
        <w:t>,</w:t>
      </w:r>
      <w:r w:rsidRPr="00C7610C">
        <w:rPr>
          <w:rFonts w:ascii="Palatino Linotype" w:hAnsi="Palatino Linotype"/>
          <w:sz w:val="22"/>
          <w:szCs w:val="22"/>
        </w:rPr>
        <w:t xml:space="preserve"> the economics literature</w:t>
      </w:r>
      <w:r w:rsidR="00640867" w:rsidRPr="00C7610C">
        <w:rPr>
          <w:rFonts w:ascii="Palatino Linotype" w:hAnsi="Palatino Linotype"/>
          <w:sz w:val="22"/>
          <w:szCs w:val="22"/>
        </w:rPr>
        <w:t xml:space="preserve"> has</w:t>
      </w:r>
      <w:r w:rsidRPr="00C7610C">
        <w:rPr>
          <w:rFonts w:ascii="Palatino Linotype" w:hAnsi="Palatino Linotype"/>
          <w:sz w:val="22"/>
          <w:szCs w:val="22"/>
        </w:rPr>
        <w:t xml:space="preserve"> identified high returns to public goods such as education and health in Latin America, while income redistribution has also been discussed as a key concern</w:t>
      </w:r>
      <w:r w:rsidR="002D4983" w:rsidRPr="00C7610C">
        <w:rPr>
          <w:rFonts w:ascii="Palatino Linotype" w:hAnsi="Palatino Linotype"/>
          <w:sz w:val="22"/>
          <w:szCs w:val="22"/>
        </w:rPr>
        <w:t xml:space="preserve"> in the continent</w:t>
      </w:r>
      <w:r w:rsidRPr="00C7610C">
        <w:rPr>
          <w:rFonts w:ascii="Palatino Linotype" w:hAnsi="Palatino Linotype"/>
          <w:sz w:val="22"/>
          <w:szCs w:val="22"/>
        </w:rPr>
        <w:t xml:space="preserve">. Funding these in a manner that does not rely </w:t>
      </w:r>
      <w:r w:rsidR="00640867" w:rsidRPr="00C7610C">
        <w:rPr>
          <w:rFonts w:ascii="Palatino Linotype" w:hAnsi="Palatino Linotype"/>
          <w:sz w:val="22"/>
          <w:szCs w:val="22"/>
        </w:rPr>
        <w:t>solely</w:t>
      </w:r>
      <w:r w:rsidRPr="00C7610C">
        <w:rPr>
          <w:rFonts w:ascii="Palatino Linotype" w:hAnsi="Palatino Linotype"/>
          <w:sz w:val="22"/>
          <w:szCs w:val="22"/>
        </w:rPr>
        <w:t xml:space="preserve"> </w:t>
      </w:r>
      <w:r w:rsidR="006706F6">
        <w:rPr>
          <w:rFonts w:ascii="Palatino Linotype" w:hAnsi="Palatino Linotype"/>
          <w:sz w:val="22"/>
          <w:szCs w:val="22"/>
        </w:rPr>
        <w:t xml:space="preserve">on </w:t>
      </w:r>
      <w:r w:rsidRPr="00C7610C">
        <w:rPr>
          <w:rFonts w:ascii="Palatino Linotype" w:hAnsi="Palatino Linotype"/>
          <w:sz w:val="22"/>
          <w:szCs w:val="22"/>
        </w:rPr>
        <w:t xml:space="preserve">debt accumulation </w:t>
      </w:r>
      <w:r w:rsidR="00640867" w:rsidRPr="00C7610C">
        <w:rPr>
          <w:rFonts w:ascii="Palatino Linotype" w:hAnsi="Palatino Linotype"/>
          <w:sz w:val="22"/>
          <w:szCs w:val="22"/>
        </w:rPr>
        <w:t xml:space="preserve">requires a sustainable </w:t>
      </w:r>
      <w:r w:rsidRPr="00C7610C">
        <w:rPr>
          <w:rFonts w:ascii="Palatino Linotype" w:hAnsi="Palatino Linotype"/>
          <w:sz w:val="22"/>
          <w:szCs w:val="22"/>
        </w:rPr>
        <w:t>increase in tax revenue</w:t>
      </w:r>
      <w:r w:rsidR="00C7610C">
        <w:rPr>
          <w:rFonts w:ascii="Palatino Linotype" w:hAnsi="Palatino Linotype"/>
          <w:sz w:val="22"/>
          <w:szCs w:val="22"/>
        </w:rPr>
        <w:t>.</w:t>
      </w:r>
      <w:r w:rsidRPr="00C7610C">
        <w:rPr>
          <w:rFonts w:ascii="Palatino Linotype" w:hAnsi="Palatino Linotype"/>
          <w:sz w:val="22"/>
          <w:szCs w:val="22"/>
        </w:rPr>
        <w:t xml:space="preserve"> Since tax rates are not substantially different between Latin</w:t>
      </w:r>
      <w:r w:rsidR="002D4983" w:rsidRPr="00C7610C">
        <w:rPr>
          <w:rFonts w:ascii="Palatino Linotype" w:hAnsi="Palatino Linotype"/>
          <w:sz w:val="22"/>
          <w:szCs w:val="22"/>
        </w:rPr>
        <w:t xml:space="preserve"> America and </w:t>
      </w:r>
      <w:r w:rsidR="00640867" w:rsidRPr="00C7610C">
        <w:rPr>
          <w:rFonts w:ascii="Palatino Linotype" w:hAnsi="Palatino Linotype"/>
          <w:sz w:val="22"/>
          <w:szCs w:val="22"/>
        </w:rPr>
        <w:t>OECD countries,</w:t>
      </w:r>
      <w:r w:rsidRPr="00C7610C">
        <w:rPr>
          <w:rFonts w:ascii="Palatino Linotype" w:hAnsi="Palatino Linotype"/>
          <w:sz w:val="22"/>
          <w:szCs w:val="22"/>
        </w:rPr>
        <w:t xml:space="preserve"> this</w:t>
      </w:r>
      <w:r w:rsidR="002D4983" w:rsidRPr="00C7610C">
        <w:rPr>
          <w:rFonts w:ascii="Palatino Linotype" w:hAnsi="Palatino Linotype"/>
          <w:sz w:val="22"/>
          <w:szCs w:val="22"/>
        </w:rPr>
        <w:t xml:space="preserve"> implies that tax evasion </w:t>
      </w:r>
      <w:r w:rsidR="00640867" w:rsidRPr="00C7610C">
        <w:rPr>
          <w:rFonts w:ascii="Palatino Linotype" w:hAnsi="Palatino Linotype"/>
          <w:sz w:val="22"/>
          <w:szCs w:val="22"/>
        </w:rPr>
        <w:t>has</w:t>
      </w:r>
      <w:r w:rsidR="002D4983" w:rsidRPr="00C7610C">
        <w:rPr>
          <w:rFonts w:ascii="Palatino Linotype" w:hAnsi="Palatino Linotype"/>
          <w:sz w:val="22"/>
          <w:szCs w:val="22"/>
        </w:rPr>
        <w:t xml:space="preserve"> to be seriously tackled. </w:t>
      </w:r>
      <w:r w:rsidR="002E6DBA" w:rsidRPr="00C7610C">
        <w:rPr>
          <w:rFonts w:ascii="Palatino Linotype" w:hAnsi="Palatino Linotype"/>
          <w:sz w:val="22"/>
          <w:szCs w:val="22"/>
        </w:rPr>
        <w:t>Mexico has moved this way in recent years through</w:t>
      </w:r>
      <w:r w:rsidRPr="00C7610C">
        <w:rPr>
          <w:rFonts w:ascii="Palatino Linotype" w:hAnsi="Palatino Linotype"/>
          <w:sz w:val="22"/>
          <w:szCs w:val="22"/>
        </w:rPr>
        <w:t xml:space="preserve"> a </w:t>
      </w:r>
      <w:r w:rsidR="002E6DBA" w:rsidRPr="00C7610C">
        <w:rPr>
          <w:rFonts w:ascii="Palatino Linotype" w:hAnsi="Palatino Linotype"/>
          <w:sz w:val="22"/>
          <w:szCs w:val="22"/>
        </w:rPr>
        <w:t>series of tax reforms</w:t>
      </w:r>
      <w:r w:rsidR="00640867" w:rsidRPr="00C7610C">
        <w:rPr>
          <w:rFonts w:ascii="Palatino Linotype" w:hAnsi="Palatino Linotype"/>
          <w:sz w:val="22"/>
          <w:szCs w:val="22"/>
        </w:rPr>
        <w:t>:</w:t>
      </w:r>
      <w:r w:rsidR="002E6DBA" w:rsidRPr="00C7610C">
        <w:rPr>
          <w:rFonts w:ascii="Palatino Linotype" w:hAnsi="Palatino Linotype"/>
          <w:sz w:val="22"/>
          <w:szCs w:val="22"/>
        </w:rPr>
        <w:t xml:space="preserve"> an alternative tax system for </w:t>
      </w:r>
      <w:r w:rsidR="00640867" w:rsidRPr="00C7610C">
        <w:rPr>
          <w:rFonts w:ascii="Palatino Linotype" w:hAnsi="Palatino Linotype"/>
          <w:sz w:val="22"/>
          <w:szCs w:val="22"/>
        </w:rPr>
        <w:t xml:space="preserve">small enterprises (REPECOS), </w:t>
      </w:r>
      <w:r w:rsidR="002E6DBA" w:rsidRPr="00C7610C">
        <w:rPr>
          <w:rFonts w:ascii="Palatino Linotype" w:hAnsi="Palatino Linotype"/>
          <w:sz w:val="22"/>
          <w:szCs w:val="22"/>
        </w:rPr>
        <w:t>a simplified filing system for medium companies (IETU)</w:t>
      </w:r>
      <w:r w:rsidR="00C7610C">
        <w:rPr>
          <w:rFonts w:ascii="Palatino Linotype" w:hAnsi="Palatino Linotype"/>
          <w:sz w:val="22"/>
          <w:szCs w:val="22"/>
        </w:rPr>
        <w:t>,</w:t>
      </w:r>
      <w:r w:rsidR="002E6DBA" w:rsidRPr="00C7610C">
        <w:rPr>
          <w:rFonts w:ascii="Palatino Linotype" w:hAnsi="Palatino Linotype"/>
          <w:sz w:val="22"/>
          <w:szCs w:val="22"/>
        </w:rPr>
        <w:t xml:space="preserve"> an</w:t>
      </w:r>
      <w:r w:rsidR="00640867" w:rsidRPr="00C7610C">
        <w:rPr>
          <w:rFonts w:ascii="Palatino Linotype" w:hAnsi="Palatino Linotype"/>
          <w:sz w:val="22"/>
          <w:szCs w:val="22"/>
        </w:rPr>
        <w:t>d a tax on cash deposits (IDE). The IDE is a 3</w:t>
      </w:r>
      <w:r w:rsidR="00C7610C">
        <w:rPr>
          <w:rFonts w:ascii="Palatino Linotype" w:hAnsi="Palatino Linotype"/>
          <w:sz w:val="22"/>
          <w:szCs w:val="22"/>
        </w:rPr>
        <w:t xml:space="preserve"> percent</w:t>
      </w:r>
      <w:r w:rsidR="00640867" w:rsidRPr="00C7610C">
        <w:rPr>
          <w:rFonts w:ascii="Palatino Linotype" w:hAnsi="Palatino Linotype"/>
          <w:sz w:val="22"/>
          <w:szCs w:val="22"/>
        </w:rPr>
        <w:t xml:space="preserve"> tax on the sum of cash deposits in a client</w:t>
      </w:r>
      <w:r w:rsidR="00C7610C">
        <w:rPr>
          <w:rFonts w:ascii="Palatino Linotype" w:hAnsi="Palatino Linotype"/>
          <w:sz w:val="22"/>
          <w:szCs w:val="22"/>
        </w:rPr>
        <w:t>’</w:t>
      </w:r>
      <w:r w:rsidR="00640867" w:rsidRPr="00C7610C">
        <w:rPr>
          <w:rFonts w:ascii="Palatino Linotype" w:hAnsi="Palatino Linotype"/>
          <w:sz w:val="22"/>
          <w:szCs w:val="22"/>
        </w:rPr>
        <w:t xml:space="preserve">s bank account above a </w:t>
      </w:r>
      <w:r w:rsidR="00A126EB" w:rsidRPr="00C7610C">
        <w:rPr>
          <w:rFonts w:ascii="Palatino Linotype" w:hAnsi="Palatino Linotype"/>
          <w:sz w:val="22"/>
          <w:szCs w:val="22"/>
        </w:rPr>
        <w:t xml:space="preserve">15,000 peso threshold. </w:t>
      </w:r>
      <w:r w:rsidR="00716FF6" w:rsidRPr="00C7610C">
        <w:rPr>
          <w:rFonts w:ascii="Palatino Linotype" w:hAnsi="Palatino Linotype"/>
          <w:sz w:val="22"/>
          <w:szCs w:val="22"/>
        </w:rPr>
        <w:t xml:space="preserve">However, the tax was conceived as a “control tax”: the entire IDE tax liability can be credited against the income and corporate taxes and therefore should be neutral for compliant firms. </w:t>
      </w:r>
    </w:p>
    <w:p w14:paraId="5EA3C5CE" w14:textId="7345E432" w:rsidR="00C7610C" w:rsidRDefault="00C7610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</w:p>
    <w:p w14:paraId="4DFCCDED" w14:textId="07397425" w:rsidR="00C7610C" w:rsidRDefault="00A126EB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  <w:r w:rsidRPr="00C7610C">
        <w:rPr>
          <w:rFonts w:ascii="Palatino Linotype" w:hAnsi="Palatino Linotype"/>
          <w:sz w:val="22"/>
          <w:szCs w:val="22"/>
        </w:rPr>
        <w:t>As a researcher I have been particularly interested in the role of financial information to enforce taxes: theoretical papers</w:t>
      </w:r>
      <w:r w:rsidRPr="00C7610C">
        <w:rPr>
          <w:rStyle w:val="FootnoteReference"/>
          <w:rFonts w:ascii="Palatino Linotype" w:hAnsi="Palatino Linotype"/>
          <w:sz w:val="22"/>
          <w:szCs w:val="22"/>
        </w:rPr>
        <w:footnoteReference w:id="2"/>
      </w:r>
      <w:r w:rsidR="009A0E8F" w:rsidRPr="00C7610C">
        <w:rPr>
          <w:rFonts w:ascii="Palatino Linotype" w:hAnsi="Palatino Linotype"/>
          <w:sz w:val="22"/>
          <w:szCs w:val="22"/>
        </w:rPr>
        <w:t xml:space="preserve"> and policy recommendations have emphasized that information from the financial system (and more generally from third-parties) can be </w:t>
      </w:r>
      <w:proofErr w:type="gramStart"/>
      <w:r w:rsidR="009A0E8F" w:rsidRPr="00C7610C">
        <w:rPr>
          <w:rFonts w:ascii="Palatino Linotype" w:hAnsi="Palatino Linotype"/>
          <w:sz w:val="22"/>
          <w:szCs w:val="22"/>
        </w:rPr>
        <w:t>key</w:t>
      </w:r>
      <w:proofErr w:type="gramEnd"/>
      <w:r w:rsidR="009A0E8F" w:rsidRPr="00C7610C">
        <w:rPr>
          <w:rFonts w:ascii="Palatino Linotype" w:hAnsi="Palatino Linotype"/>
          <w:sz w:val="22"/>
          <w:szCs w:val="22"/>
        </w:rPr>
        <w:t xml:space="preserve"> to observ</w:t>
      </w:r>
      <w:r w:rsidR="00616097">
        <w:rPr>
          <w:rFonts w:ascii="Palatino Linotype" w:hAnsi="Palatino Linotype"/>
          <w:sz w:val="22"/>
          <w:szCs w:val="22"/>
        </w:rPr>
        <w:t>ing</w:t>
      </w:r>
      <w:r w:rsidR="009A0E8F" w:rsidRPr="00C7610C">
        <w:rPr>
          <w:rFonts w:ascii="Palatino Linotype" w:hAnsi="Palatino Linotype"/>
          <w:sz w:val="22"/>
          <w:szCs w:val="22"/>
        </w:rPr>
        <w:t xml:space="preserve"> true income flows and taxation. </w:t>
      </w:r>
      <w:r w:rsidR="00716FF6" w:rsidRPr="00C7610C">
        <w:rPr>
          <w:rFonts w:ascii="Palatino Linotype" w:hAnsi="Palatino Linotype"/>
          <w:sz w:val="22"/>
          <w:szCs w:val="22"/>
        </w:rPr>
        <w:t>The IDE</w:t>
      </w:r>
      <w:r w:rsidR="00727868" w:rsidRPr="00C7610C">
        <w:rPr>
          <w:rFonts w:ascii="Palatino Linotype" w:hAnsi="Palatino Linotype"/>
          <w:sz w:val="22"/>
          <w:szCs w:val="22"/>
        </w:rPr>
        <w:t xml:space="preserve"> is a way for </w:t>
      </w:r>
      <w:r w:rsidR="006953E6" w:rsidRPr="00C7610C">
        <w:rPr>
          <w:rFonts w:ascii="Palatino Linotype" w:hAnsi="Palatino Linotype"/>
          <w:sz w:val="22"/>
          <w:szCs w:val="22"/>
        </w:rPr>
        <w:t>the Mexican t</w:t>
      </w:r>
      <w:r w:rsidR="00727868" w:rsidRPr="00C7610C">
        <w:rPr>
          <w:rFonts w:ascii="Palatino Linotype" w:hAnsi="Palatino Linotype"/>
          <w:sz w:val="22"/>
          <w:szCs w:val="22"/>
        </w:rPr>
        <w:t>ax authority to</w:t>
      </w:r>
      <w:r w:rsidR="00716FF6" w:rsidRPr="00C7610C">
        <w:rPr>
          <w:rFonts w:ascii="Palatino Linotype" w:hAnsi="Palatino Linotype"/>
          <w:sz w:val="22"/>
          <w:szCs w:val="22"/>
        </w:rPr>
        <w:t xml:space="preserve"> </w:t>
      </w:r>
      <w:r w:rsidR="00727868" w:rsidRPr="00C7610C">
        <w:rPr>
          <w:rFonts w:ascii="Palatino Linotype" w:hAnsi="Palatino Linotype"/>
          <w:sz w:val="22"/>
          <w:szCs w:val="22"/>
        </w:rPr>
        <w:t>put</w:t>
      </w:r>
      <w:r w:rsidR="00134484" w:rsidRPr="00C7610C">
        <w:rPr>
          <w:rFonts w:ascii="Palatino Linotype" w:hAnsi="Palatino Linotype"/>
          <w:sz w:val="22"/>
          <w:szCs w:val="22"/>
        </w:rPr>
        <w:t xml:space="preserve"> in application these</w:t>
      </w:r>
      <w:r w:rsidR="00716FF6" w:rsidRPr="00C7610C">
        <w:rPr>
          <w:rFonts w:ascii="Palatino Linotype" w:hAnsi="Palatino Linotype"/>
          <w:sz w:val="22"/>
          <w:szCs w:val="22"/>
        </w:rPr>
        <w:t xml:space="preserve"> recommendation</w:t>
      </w:r>
      <w:r w:rsidR="00727868" w:rsidRPr="00C7610C">
        <w:rPr>
          <w:rFonts w:ascii="Palatino Linotype" w:hAnsi="Palatino Linotype"/>
          <w:sz w:val="22"/>
          <w:szCs w:val="22"/>
        </w:rPr>
        <w:t>s</w:t>
      </w:r>
      <w:r w:rsidR="00716FF6" w:rsidRPr="00C7610C">
        <w:rPr>
          <w:rFonts w:ascii="Palatino Linotype" w:hAnsi="Palatino Linotype"/>
          <w:sz w:val="22"/>
          <w:szCs w:val="22"/>
        </w:rPr>
        <w:t xml:space="preserve"> </w:t>
      </w:r>
      <w:r w:rsidR="00727868" w:rsidRPr="00C7610C">
        <w:rPr>
          <w:rFonts w:ascii="Palatino Linotype" w:hAnsi="Palatino Linotype"/>
          <w:sz w:val="22"/>
          <w:szCs w:val="22"/>
        </w:rPr>
        <w:t>by recording</w:t>
      </w:r>
      <w:r w:rsidR="00716FF6" w:rsidRPr="00C7610C">
        <w:rPr>
          <w:rFonts w:ascii="Palatino Linotype" w:hAnsi="Palatino Linotype"/>
          <w:sz w:val="22"/>
          <w:szCs w:val="22"/>
        </w:rPr>
        <w:t xml:space="preserve"> cash</w:t>
      </w:r>
      <w:r w:rsidR="00134484" w:rsidRPr="00C7610C">
        <w:rPr>
          <w:rFonts w:ascii="Palatino Linotype" w:hAnsi="Palatino Linotype"/>
          <w:sz w:val="22"/>
          <w:szCs w:val="22"/>
        </w:rPr>
        <w:t xml:space="preserve"> deposit information</w:t>
      </w:r>
      <w:r w:rsidR="00716FF6" w:rsidRPr="00C7610C">
        <w:rPr>
          <w:rFonts w:ascii="Palatino Linotype" w:hAnsi="Palatino Linotype"/>
          <w:sz w:val="22"/>
          <w:szCs w:val="22"/>
        </w:rPr>
        <w:t xml:space="preserve">. </w:t>
      </w:r>
      <w:r w:rsidR="001E04C0" w:rsidRPr="00C7610C">
        <w:rPr>
          <w:rFonts w:ascii="Palatino Linotype" w:hAnsi="Palatino Linotype"/>
          <w:sz w:val="22"/>
          <w:szCs w:val="22"/>
        </w:rPr>
        <w:t>This information generate</w:t>
      </w:r>
      <w:r w:rsidR="007E7C19" w:rsidRPr="00C7610C">
        <w:rPr>
          <w:rFonts w:ascii="Palatino Linotype" w:hAnsi="Palatino Linotype"/>
          <w:sz w:val="22"/>
          <w:szCs w:val="22"/>
        </w:rPr>
        <w:t>s</w:t>
      </w:r>
      <w:r w:rsidR="006706F6">
        <w:rPr>
          <w:rFonts w:ascii="Palatino Linotype" w:hAnsi="Palatino Linotype"/>
          <w:sz w:val="22"/>
          <w:szCs w:val="22"/>
        </w:rPr>
        <w:t xml:space="preserve"> an</w:t>
      </w:r>
      <w:r w:rsidR="007E7C19" w:rsidRPr="00C7610C">
        <w:rPr>
          <w:rFonts w:ascii="Palatino Linotype" w:hAnsi="Palatino Linotype"/>
          <w:sz w:val="22"/>
          <w:szCs w:val="22"/>
        </w:rPr>
        <w:t xml:space="preserve"> indication </w:t>
      </w:r>
      <w:r w:rsidR="006706F6">
        <w:rPr>
          <w:rFonts w:ascii="Palatino Linotype" w:hAnsi="Palatino Linotype"/>
          <w:sz w:val="22"/>
          <w:szCs w:val="22"/>
        </w:rPr>
        <w:t>of</w:t>
      </w:r>
      <w:r w:rsidR="007E7C19" w:rsidRPr="00C7610C">
        <w:rPr>
          <w:rFonts w:ascii="Palatino Linotype" w:hAnsi="Palatino Linotype"/>
          <w:sz w:val="22"/>
          <w:szCs w:val="22"/>
        </w:rPr>
        <w:t xml:space="preserve"> the flow of revenues of firms and individuals and therefore </w:t>
      </w:r>
      <w:r w:rsidR="006706F6">
        <w:rPr>
          <w:rFonts w:ascii="Palatino Linotype" w:hAnsi="Palatino Linotype"/>
          <w:sz w:val="22"/>
          <w:szCs w:val="22"/>
        </w:rPr>
        <w:t>of</w:t>
      </w:r>
      <w:bookmarkStart w:id="0" w:name="_GoBack"/>
      <w:bookmarkEnd w:id="0"/>
      <w:r w:rsidR="006953E6" w:rsidRPr="00C7610C">
        <w:rPr>
          <w:rFonts w:ascii="Palatino Linotype" w:hAnsi="Palatino Linotype"/>
          <w:sz w:val="22"/>
          <w:szCs w:val="22"/>
        </w:rPr>
        <w:t xml:space="preserve"> their tax capacity. I</w:t>
      </w:r>
      <w:r w:rsidR="007E7C19" w:rsidRPr="00C7610C">
        <w:rPr>
          <w:rFonts w:ascii="Palatino Linotype" w:hAnsi="Palatino Linotype"/>
          <w:sz w:val="22"/>
          <w:szCs w:val="22"/>
        </w:rPr>
        <w:t xml:space="preserve">n addition to catching </w:t>
      </w:r>
      <w:r w:rsidR="006953E6" w:rsidRPr="00C7610C">
        <w:rPr>
          <w:rFonts w:ascii="Palatino Linotype" w:hAnsi="Palatino Linotype"/>
          <w:sz w:val="22"/>
          <w:szCs w:val="22"/>
        </w:rPr>
        <w:t>potential tax evaders, the IDE, increases</w:t>
      </w:r>
      <w:r w:rsidR="007E7C19" w:rsidRPr="00C7610C">
        <w:rPr>
          <w:rFonts w:ascii="Palatino Linotype" w:hAnsi="Palatino Linotype"/>
          <w:sz w:val="22"/>
          <w:szCs w:val="22"/>
        </w:rPr>
        <w:t xml:space="preserve"> the risk of detection</w:t>
      </w:r>
      <w:r w:rsidR="00616097">
        <w:rPr>
          <w:rFonts w:ascii="Palatino Linotype" w:hAnsi="Palatino Linotype"/>
          <w:sz w:val="22"/>
          <w:szCs w:val="22"/>
        </w:rPr>
        <w:t>, which</w:t>
      </w:r>
      <w:r w:rsidR="007E7C19" w:rsidRPr="00C7610C">
        <w:rPr>
          <w:rFonts w:ascii="Palatino Linotype" w:hAnsi="Palatino Linotype"/>
          <w:sz w:val="22"/>
          <w:szCs w:val="22"/>
        </w:rPr>
        <w:t xml:space="preserve"> might push some firms to formalize/declare a larger share of sales</w:t>
      </w:r>
      <w:r w:rsidR="006953E6" w:rsidRPr="00C7610C">
        <w:rPr>
          <w:rFonts w:ascii="Palatino Linotype" w:hAnsi="Palatino Linotype"/>
          <w:sz w:val="22"/>
          <w:szCs w:val="22"/>
        </w:rPr>
        <w:t xml:space="preserve">. </w:t>
      </w:r>
      <w:r w:rsidR="001E04C0" w:rsidRPr="00C7610C">
        <w:rPr>
          <w:rFonts w:ascii="Palatino Linotype" w:hAnsi="Palatino Linotype"/>
          <w:sz w:val="22"/>
          <w:szCs w:val="22"/>
        </w:rPr>
        <w:t xml:space="preserve">On the other hand some firms might </w:t>
      </w:r>
      <w:r w:rsidR="006953E6" w:rsidRPr="00C7610C">
        <w:rPr>
          <w:rFonts w:ascii="Palatino Linotype" w:hAnsi="Palatino Linotype"/>
          <w:sz w:val="22"/>
          <w:szCs w:val="22"/>
        </w:rPr>
        <w:t>decide</w:t>
      </w:r>
      <w:r w:rsidR="001E04C0" w:rsidRPr="00C7610C">
        <w:rPr>
          <w:rFonts w:ascii="Palatino Linotype" w:hAnsi="Palatino Linotype"/>
          <w:sz w:val="22"/>
          <w:szCs w:val="22"/>
        </w:rPr>
        <w:t xml:space="preserve"> to close their bank accounts and stop using bank finance to fund their business altogether. As a result, the reform might have excluded the initially less formal firms from finance and pushed them further into informality, therefore widening the gap between the formal economy and the informal economy. </w:t>
      </w:r>
    </w:p>
    <w:p w14:paraId="38841683" w14:textId="5B5057AF" w:rsidR="00C7610C" w:rsidRDefault="00C7610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</w:p>
    <w:p w14:paraId="7DE78A04" w14:textId="77777777" w:rsidR="00C7610C" w:rsidRDefault="006953E6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  <w:r w:rsidRPr="00C7610C">
        <w:rPr>
          <w:rFonts w:ascii="Palatino Linotype" w:hAnsi="Palatino Linotype"/>
          <w:sz w:val="22"/>
          <w:szCs w:val="22"/>
        </w:rPr>
        <w:t>The</w:t>
      </w:r>
      <w:r w:rsidR="00C4203B" w:rsidRPr="00C7610C">
        <w:rPr>
          <w:rFonts w:ascii="Palatino Linotype" w:hAnsi="Palatino Linotype"/>
          <w:sz w:val="22"/>
          <w:szCs w:val="22"/>
        </w:rPr>
        <w:t xml:space="preserve"> main</w:t>
      </w:r>
      <w:r w:rsidRPr="00C7610C">
        <w:rPr>
          <w:rFonts w:ascii="Palatino Linotype" w:hAnsi="Palatino Linotype"/>
          <w:sz w:val="22"/>
          <w:szCs w:val="22"/>
        </w:rPr>
        <w:t xml:space="preserve"> goa</w:t>
      </w:r>
      <w:r w:rsidR="00C4203B" w:rsidRPr="00C7610C">
        <w:rPr>
          <w:rFonts w:ascii="Palatino Linotype" w:hAnsi="Palatino Linotype"/>
          <w:sz w:val="22"/>
          <w:szCs w:val="22"/>
        </w:rPr>
        <w:t xml:space="preserve">l of my trip was to obtain data to evaluate the IDE and in particular its disintermediation effect on formal finance. To obtain the data I met with researchers at the central bank and at private banks to explain the objective of the project: using monthly data on different types of deposits (cash, cards, checks, online) to quantify the effect of IDE on financial disintermediation. I am currently in contact with a private bank and will present the project to their data specialists at the end of September. </w:t>
      </w:r>
    </w:p>
    <w:p w14:paraId="2330442D" w14:textId="3440C8A4" w:rsidR="00C7610C" w:rsidRDefault="00C7610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</w:p>
    <w:p w14:paraId="36A6BD01" w14:textId="77777777" w:rsidR="00C7610C" w:rsidRDefault="00C4203B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  <w:r w:rsidRPr="00C7610C">
        <w:rPr>
          <w:rFonts w:ascii="Palatino Linotype" w:hAnsi="Palatino Linotype"/>
          <w:sz w:val="22"/>
          <w:szCs w:val="22"/>
        </w:rPr>
        <w:t xml:space="preserve">Another important goal was to work on an article with Professor Enrique </w:t>
      </w:r>
      <w:proofErr w:type="spellStart"/>
      <w:r w:rsidRPr="00C7610C">
        <w:rPr>
          <w:rFonts w:ascii="Palatino Linotype" w:hAnsi="Palatino Linotype"/>
          <w:sz w:val="22"/>
          <w:szCs w:val="22"/>
        </w:rPr>
        <w:t>Seira</w:t>
      </w:r>
      <w:proofErr w:type="spellEnd"/>
      <w:r w:rsidRPr="00C7610C">
        <w:rPr>
          <w:rFonts w:ascii="Palatino Linotype" w:hAnsi="Palatino Linotype"/>
          <w:sz w:val="22"/>
          <w:szCs w:val="22"/>
        </w:rPr>
        <w:t xml:space="preserve"> from ITAM, where I received an office and was welcomed by everyone at the university. This project analyzed the </w:t>
      </w:r>
      <w:r w:rsidRPr="00C7610C">
        <w:rPr>
          <w:rFonts w:ascii="Palatino Linotype" w:hAnsi="Palatino Linotype"/>
          <w:sz w:val="22"/>
          <w:szCs w:val="22"/>
        </w:rPr>
        <w:lastRenderedPageBreak/>
        <w:t xml:space="preserve">effects of three programs aimed at increasing </w:t>
      </w:r>
      <w:r w:rsidR="00E0183C" w:rsidRPr="00C7610C">
        <w:rPr>
          <w:rFonts w:ascii="Palatino Linotype" w:hAnsi="Palatino Linotype"/>
          <w:sz w:val="22"/>
          <w:szCs w:val="22"/>
        </w:rPr>
        <w:t>average balance</w:t>
      </w:r>
      <w:r w:rsidRPr="00C7610C">
        <w:rPr>
          <w:rFonts w:ascii="Palatino Linotype" w:hAnsi="Palatino Linotype"/>
          <w:sz w:val="22"/>
          <w:szCs w:val="22"/>
        </w:rPr>
        <w:t xml:space="preserve"> among the poorest quintile of the Mexican population. Distributing debit cards</w:t>
      </w:r>
      <w:r w:rsidR="00E0183C" w:rsidRPr="00C7610C">
        <w:rPr>
          <w:rFonts w:ascii="Palatino Linotype" w:hAnsi="Palatino Linotype"/>
          <w:sz w:val="22"/>
          <w:szCs w:val="22"/>
        </w:rPr>
        <w:t xml:space="preserve"> and organizing savings lotteries generated a large effect on savings while offering commitment devices did not. </w:t>
      </w:r>
    </w:p>
    <w:p w14:paraId="0B1A4B30" w14:textId="5A18132B" w:rsidR="00C7610C" w:rsidRDefault="00C7610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</w:p>
    <w:p w14:paraId="35ADAB73" w14:textId="77777777" w:rsidR="00C7610C" w:rsidRDefault="00E0183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  <w:r w:rsidRPr="00C7610C">
        <w:rPr>
          <w:rFonts w:ascii="Palatino Linotype" w:hAnsi="Palatino Linotype"/>
          <w:sz w:val="22"/>
          <w:szCs w:val="22"/>
        </w:rPr>
        <w:t xml:space="preserve">Being in Mexico was crucial in order to meet researchers and professionals who were familiar with the Mexican tax system and the economic context. The advances I made to obtain the data </w:t>
      </w:r>
      <w:r w:rsidR="00616097">
        <w:rPr>
          <w:rFonts w:ascii="Palatino Linotype" w:hAnsi="Palatino Linotype"/>
          <w:sz w:val="22"/>
          <w:szCs w:val="22"/>
        </w:rPr>
        <w:t xml:space="preserve">were </w:t>
      </w:r>
      <w:r w:rsidRPr="00C7610C">
        <w:rPr>
          <w:rFonts w:ascii="Palatino Linotype" w:hAnsi="Palatino Linotype"/>
          <w:sz w:val="22"/>
          <w:szCs w:val="22"/>
        </w:rPr>
        <w:t>important</w:t>
      </w:r>
      <w:r w:rsidR="00616097">
        <w:rPr>
          <w:rFonts w:ascii="Palatino Linotype" w:hAnsi="Palatino Linotype"/>
          <w:sz w:val="22"/>
          <w:szCs w:val="22"/>
        </w:rPr>
        <w:t>, and I am</w:t>
      </w:r>
      <w:r w:rsidRPr="00C7610C">
        <w:rPr>
          <w:rFonts w:ascii="Palatino Linotype" w:hAnsi="Palatino Linotype"/>
          <w:sz w:val="22"/>
          <w:szCs w:val="22"/>
        </w:rPr>
        <w:t xml:space="preserve"> also close to finishing an article with a professor at a Mexican university. I am extremely grateful to the T</w:t>
      </w:r>
      <w:r w:rsidR="00616097">
        <w:rPr>
          <w:rFonts w:ascii="Palatino Linotype" w:hAnsi="Palatino Linotype"/>
          <w:sz w:val="22"/>
          <w:szCs w:val="22"/>
        </w:rPr>
        <w:t>inker</w:t>
      </w:r>
      <w:r w:rsidRPr="00C7610C">
        <w:rPr>
          <w:rFonts w:ascii="Palatino Linotype" w:hAnsi="Palatino Linotype"/>
          <w:sz w:val="22"/>
          <w:szCs w:val="22"/>
        </w:rPr>
        <w:t xml:space="preserve"> foundation for this opportunity and hope that the result of the study can be used in the future for policy recommendations.</w:t>
      </w:r>
    </w:p>
    <w:p w14:paraId="7CE6BBC2" w14:textId="77777777" w:rsidR="00C7610C" w:rsidRDefault="00C7610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</w:p>
    <w:p w14:paraId="62973DAE" w14:textId="77777777" w:rsidR="00C7610C" w:rsidRDefault="00C7610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</w:p>
    <w:p w14:paraId="57ACDBFA" w14:textId="77777777" w:rsidR="00C7610C" w:rsidRDefault="00C7610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</w:p>
    <w:p w14:paraId="5F26336C" w14:textId="77777777" w:rsidR="00C7610C" w:rsidRDefault="00E0183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  <w:r w:rsidRPr="00C7610C">
        <w:rPr>
          <w:rFonts w:ascii="Palatino Linotype" w:hAnsi="Palatino Linotype"/>
          <w:sz w:val="22"/>
          <w:szCs w:val="22"/>
        </w:rPr>
        <w:t xml:space="preserve"> </w:t>
      </w:r>
    </w:p>
    <w:p w14:paraId="50774840" w14:textId="77777777" w:rsidR="00C7610C" w:rsidRDefault="00C7610C" w:rsidP="00C7610C">
      <w:pPr>
        <w:tabs>
          <w:tab w:val="left" w:pos="9360"/>
        </w:tabs>
        <w:ind w:right="-216"/>
        <w:rPr>
          <w:rFonts w:ascii="Palatino Linotype" w:hAnsi="Palatino Linotype"/>
          <w:sz w:val="22"/>
          <w:szCs w:val="22"/>
        </w:rPr>
      </w:pPr>
    </w:p>
    <w:p w14:paraId="578F8FB3" w14:textId="77777777" w:rsidR="00C7610C" w:rsidRDefault="00C7610C" w:rsidP="00C7610C">
      <w:pPr>
        <w:rPr>
          <w:rFonts w:ascii="Palatino Linotype" w:hAnsi="Palatino Linotype"/>
          <w:sz w:val="22"/>
          <w:szCs w:val="22"/>
        </w:rPr>
      </w:pPr>
    </w:p>
    <w:p w14:paraId="5BC3A269" w14:textId="0B1BAEAC" w:rsidR="00C7610C" w:rsidRDefault="00C7610C" w:rsidP="00C7610C">
      <w:pPr>
        <w:rPr>
          <w:rFonts w:ascii="Palatino Linotype" w:hAnsi="Palatino Linotype"/>
          <w:sz w:val="22"/>
          <w:szCs w:val="22"/>
        </w:rPr>
      </w:pPr>
    </w:p>
    <w:p w14:paraId="39889B39" w14:textId="77777777" w:rsidR="00FC5232" w:rsidRPr="00C7610C" w:rsidRDefault="00FC5232" w:rsidP="00C7610C">
      <w:pPr>
        <w:rPr>
          <w:rFonts w:ascii="Palatino Linotype" w:hAnsi="Palatino Linotype"/>
          <w:sz w:val="22"/>
          <w:szCs w:val="22"/>
        </w:rPr>
      </w:pPr>
    </w:p>
    <w:sectPr w:rsidR="00FC5232" w:rsidRPr="00C7610C" w:rsidSect="006B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D34D" w14:textId="77777777" w:rsidR="00C4203B" w:rsidRDefault="00C4203B" w:rsidP="00FC5232">
      <w:r>
        <w:separator/>
      </w:r>
    </w:p>
  </w:endnote>
  <w:endnote w:type="continuationSeparator" w:id="0">
    <w:p w14:paraId="4F075DF1" w14:textId="77777777" w:rsidR="00C4203B" w:rsidRDefault="00C4203B" w:rsidP="00F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A7B5F" w14:textId="77777777" w:rsidR="00C4203B" w:rsidRDefault="00C4203B" w:rsidP="00FC5232">
      <w:r>
        <w:separator/>
      </w:r>
    </w:p>
  </w:footnote>
  <w:footnote w:type="continuationSeparator" w:id="0">
    <w:p w14:paraId="2E366544" w14:textId="77777777" w:rsidR="00C4203B" w:rsidRDefault="00C4203B" w:rsidP="00FC5232">
      <w:r>
        <w:continuationSeparator/>
      </w:r>
    </w:p>
  </w:footnote>
  <w:footnote w:id="1">
    <w:p w14:paraId="5C3A3C33" w14:textId="77777777" w:rsidR="00C4203B" w:rsidRPr="00B3372A" w:rsidRDefault="00C4203B" w:rsidP="00FC5232">
      <w:pPr>
        <w:pStyle w:val="FootnoteText"/>
        <w:rPr>
          <w:sz w:val="18"/>
          <w:szCs w:val="18"/>
        </w:rPr>
      </w:pPr>
      <w:r w:rsidRPr="00B3372A">
        <w:rPr>
          <w:rStyle w:val="FootnoteReference"/>
          <w:sz w:val="18"/>
          <w:szCs w:val="18"/>
        </w:rPr>
        <w:footnoteRef/>
      </w:r>
      <w:r w:rsidRPr="00B3372A">
        <w:rPr>
          <w:sz w:val="18"/>
          <w:szCs w:val="18"/>
        </w:rPr>
        <w:t xml:space="preserve"> OECD 2009</w:t>
      </w:r>
    </w:p>
  </w:footnote>
  <w:footnote w:id="2">
    <w:p w14:paraId="648EFAD2" w14:textId="5FFA4C80" w:rsidR="00C4203B" w:rsidRPr="00A126EB" w:rsidRDefault="00C42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26EB">
        <w:rPr>
          <w:sz w:val="18"/>
          <w:szCs w:val="18"/>
        </w:rPr>
        <w:t>e.g.</w:t>
      </w:r>
      <w:r>
        <w:t xml:space="preserve"> </w:t>
      </w:r>
      <w:r w:rsidRPr="00A126EB">
        <w:rPr>
          <w:sz w:val="18"/>
          <w:szCs w:val="18"/>
        </w:rPr>
        <w:t>Gordon &amp; Li (2009)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6"/>
    <w:rsid w:val="00134484"/>
    <w:rsid w:val="001E04C0"/>
    <w:rsid w:val="002D4983"/>
    <w:rsid w:val="002E6DBA"/>
    <w:rsid w:val="00587CF9"/>
    <w:rsid w:val="00616097"/>
    <w:rsid w:val="00640867"/>
    <w:rsid w:val="006706F6"/>
    <w:rsid w:val="006953E6"/>
    <w:rsid w:val="006B1156"/>
    <w:rsid w:val="00716FF6"/>
    <w:rsid w:val="00727868"/>
    <w:rsid w:val="007E7C19"/>
    <w:rsid w:val="007F15F9"/>
    <w:rsid w:val="009A0E8F"/>
    <w:rsid w:val="00A126EB"/>
    <w:rsid w:val="00C4203B"/>
    <w:rsid w:val="00C7610C"/>
    <w:rsid w:val="00E0183C"/>
    <w:rsid w:val="00FC4B53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B0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C5232"/>
    <w:rPr>
      <w:rFonts w:ascii="Arial" w:eastAsia="Times New Roman" w:hAnsi="Arial" w:cs="Times New Roman"/>
    </w:rPr>
  </w:style>
  <w:style w:type="character" w:customStyle="1" w:styleId="FootnoteTextChar">
    <w:name w:val="Footnote Text Char"/>
    <w:basedOn w:val="DefaultParagraphFont"/>
    <w:link w:val="FootnoteText"/>
    <w:rsid w:val="00FC5232"/>
    <w:rPr>
      <w:rFonts w:ascii="Arial" w:eastAsia="Times New Roman" w:hAnsi="Arial" w:cs="Times New Roman"/>
    </w:rPr>
  </w:style>
  <w:style w:type="character" w:styleId="FootnoteReference">
    <w:name w:val="footnote reference"/>
    <w:basedOn w:val="DefaultParagraphFont"/>
    <w:rsid w:val="00FC5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C5232"/>
    <w:rPr>
      <w:rFonts w:ascii="Arial" w:eastAsia="Times New Roman" w:hAnsi="Arial" w:cs="Times New Roman"/>
    </w:rPr>
  </w:style>
  <w:style w:type="character" w:customStyle="1" w:styleId="FootnoteTextChar">
    <w:name w:val="Footnote Text Char"/>
    <w:basedOn w:val="DefaultParagraphFont"/>
    <w:link w:val="FootnoteText"/>
    <w:rsid w:val="00FC5232"/>
    <w:rPr>
      <w:rFonts w:ascii="Arial" w:eastAsia="Times New Roman" w:hAnsi="Arial" w:cs="Times New Roman"/>
    </w:rPr>
  </w:style>
  <w:style w:type="character" w:styleId="FootnoteReference">
    <w:name w:val="footnote reference"/>
    <w:basedOn w:val="DefaultParagraphFont"/>
    <w:rsid w:val="00FC5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3308</Characters>
  <Application>Microsoft Office Word</Application>
  <DocSecurity>0</DocSecurity>
  <Lines>58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Bachas</dc:creator>
  <cp:lastModifiedBy>Jean Spencer</cp:lastModifiedBy>
  <cp:revision>4</cp:revision>
  <dcterms:created xsi:type="dcterms:W3CDTF">2013-09-19T19:07:00Z</dcterms:created>
  <dcterms:modified xsi:type="dcterms:W3CDTF">2013-09-27T22:06:00Z</dcterms:modified>
</cp:coreProperties>
</file>